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Děti patří domů, z. 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náměstí Míru 108/28, 568 02 Svitavy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IČO: 22682660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zastoupený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Mgr. Lenkou Patočkovou,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předsedkyní Správní rady Děti patří domů, z. 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osoba pověřená podle § 48 odst. 2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ákona č. 359/1999 Sb. o sociálně-právní ochraně dětí, ve znění pozdějších předpisů, písm. d) uzavírat dohody o výkonu pěstounské péče a podle písmena f) poskytovat osobě pečující, s níž uzavřela dohodu o výkonu pěstounské péče, výchovnou a poradenskou péči při výkonu pěstounské péče a sledovat výkon pěstounské péče.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„poskytovatel“)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jméno a příjmení,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datum narození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adresa bydliště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telefon, email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(dále jen „pěstoun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uzavřeli tuto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DOHODU O VÝKONU PĚSTOUNSKÉ PÉČE (dále jen Dohoda)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podle § 47b odst. 4 a souvisejících Zákona č. 359/1999 Sb., o sociálně-právní ochraně dětí, ve znění pozdějších předpisů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 zákona č. 363/2021 Sb., kterým se mění výše uvedený zákon o SPOD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Zákonný rámec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Pěstounovi bylo/y na základě rozhodnutí Okresního soudu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ve ……..sp. zn. …….. / č. j. …….. ze dne ……….., rozsudek nabyl právní moci dne ……….,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svěřeno/y do pěstounské péče nezletilé dítě/děti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, o které osobně pečuje: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shd w:fill="auto" w:val="clear"/>
        <w:tabs>
          <w:tab w:val="center" w:pos="4536"/>
        </w:tabs>
        <w:spacing w:after="0" w:before="60" w:line="240" w:lineRule="auto"/>
        <w:ind w:left="720" w:right="0" w:firstLine="0"/>
        <w:jc w:val="both"/>
        <w:rPr>
          <w:rFonts w:ascii="Arial" w:cs="Arial" w:eastAsia="Arial" w:hAnsi="Arial"/>
          <w:i w:val="1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yellow"/>
          <w:rtl w:val="0"/>
        </w:rPr>
        <w:t xml:space="preserve">1. jméno a příjmení dítěte, datum narození, trvale bytem</w:t>
      </w:r>
    </w:p>
    <w:p w:rsidR="00000000" w:rsidDel="00000000" w:rsidP="00000000" w:rsidRDefault="00000000" w:rsidRPr="00000000" w14:paraId="0000001A">
      <w:pPr>
        <w:tabs>
          <w:tab w:val="center" w:pos="4536"/>
        </w:tabs>
        <w:spacing w:before="60" w:lineRule="auto"/>
        <w:ind w:left="720" w:firstLine="0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yellow"/>
          <w:rtl w:val="0"/>
        </w:rPr>
        <w:t xml:space="preserve">1. jméno a příjmení dítěte, datum narození, trvale byte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m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8"/>
        </w:numP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Tato Dohoda upravuje podrobnosti ohledně výkonu práv a povinností pěstouna a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ráv a povinností poskytovatele a jejich vzájemné spolupráce.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before="60" w:lineRule="auto"/>
        <w:ind w:left="36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Přílohou této Dohody je:</w:t>
      </w:r>
    </w:p>
    <w:p w:rsidR="00000000" w:rsidDel="00000000" w:rsidP="00000000" w:rsidRDefault="00000000" w:rsidRPr="00000000" w14:paraId="0000001D">
      <w:pPr>
        <w:spacing w:before="60" w:lineRule="auto"/>
        <w:ind w:left="10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 </w:t>
        <w:tab/>
        <w:t xml:space="preserve">Podání a vyřízení připomínek a stížností, 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spacing w:after="0" w:afterAutospacing="0" w:before="6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Souhlas místně příslušného OSPOD s Dohodou v případě, že není její součástí,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spacing w:before="0" w:beforeAutospacing="0" w:lineRule="auto"/>
        <w:ind w:left="144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Manuál pro pěstouny neboli Vnitřní směrnice č. 01/2022 o právech a povinnostech pěstounů provázených Děti patří domů, z. s. (dále jen Vnitřní směrnice č. 01/2022) s aktuální Nabídkou akcí a platným Ceníkem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 spolupráce, klíčový pracovník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pěstouna s poskytovatelem je zajištění činností, vymezených v čl. IV. a V. této Dohody a spolupráce s klíčovým pracovníkem. Poskytovatel se s pěstounem dohodl na osobě klíčového pracovníka, se kterým pěstoun řeší všechny záležitosti vyplývající z této Dohody, pokud okolnosti nevyžadují jiné řešení.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může určit po projednání s pěstounem jiného klíčového pracovníka. V případě ukončení pracovního poměru klíčového pracovníka, nebo jeho pracovní neschopnosti, která by měla se zřetelem ke všem okolnostem trvat déle než 2 měsíce, je poskytovatel povinen určit nového klíčového pracovníka a bezodkladně o tom pěstouna informovat. V případě nejasností se může pěstoun obrátit na koordinátora provázení nebo odborného garanta.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má právo požádat o změnu osoby klíčového pracovníka a to z jakéhokoli důvodu, jakož i bez uvedení důvodu. Poskytovatel je povinen jí vyhovět, s výjimkou situace, kdy žádný z jeho klíčových pracovníků v daném regionu nemá volnou kapacitu. Žádost se podává písemně na adresu kanceláře.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byl při podpisu Dohody poučena, že může kdykoliv podat stížnost, pokud by z jakéhokoli důvodu nebyla spokojena se spoluprací se svým klíčovým pracovníkem nebo jinými službami. Stížnost je možné podat způsobem, který je popsán v příloze č. 1 této Dohody – Podání a vyřízení připomínek a stížností.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Předmětem spolupráce rodiny s klíčovým pracovníkem je doprovázení zaměřené na oblasti: péče o dítě a rozvíjení vztahu s dítětem, zajištění bezpečného a láskyplného prostředí pro dítě, spolupráce s vlastní rodinou dítěte a dalšími subjekty, vzdělávání a sebereflexe v roli pěstouna, reflexe výkonu pěstounské péče, sledování naplňování cílů stanovených na předchozích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konzultacích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v Individuálním plánu ochrany dítěte (IPOD) aj.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9"/>
        </w:numPr>
        <w:shd w:fill="auto" w:val="clear"/>
        <w:spacing w:after="0" w:before="60" w:line="240" w:lineRule="auto"/>
        <w:ind w:left="35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základě Dohody je vytvořen spis, ve kterém jsou osobní údaje pěstouna a dětí svěřených do pěstounské péče a dále údaje spojené s doprovázením - údaje o místně příslušném orgánu sociálně-právní ochrany dětí (dále jen OSPOD), zprávy pro OSPOD, výstupy z konzultací, cíle spolupráce pro obě strany, vzdělávací plán, plnění práv a povinností apod. Pěstoun a děti mu svěřené do pěstounské péče mají do spisu přístup tak, že požadované části jsou jim vytisknuty. Neplnění cílů stanovených ve spisu může být důvodem pro ukončení spolupráce.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shd w:fill="auto" w:val="clear"/>
        <w:spacing w:after="0" w:before="6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Čas, místo a forma spolupráce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se může na svého klíčového pracovníka obracet prostřednictvím telefonu nebo emailu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Při dlouhodobé pracovní neschopnosti (14 dní a více) nebo čerpání dovolené klíčový pracovník včas pěstounovi sdělí, kdo jej zastupuje.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návštěva klíčového pracovníka realizovaná v minimálním rozsahu jednou za dva měsíce probíhá většinou v domácnosti pěstouna (případně dle osobní domluvy je možné i jiné místo) a v termínu, který vyhovuje pěstounovi, dětem i klíčovému pracovníkovi. V situaci, kdy se nedaří domluvit společný termín setkání je postup následující: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2"/>
        </w:numP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nepodaří uskutečnit společnou schůzku do 4 měsíců od uzavření Dohody nebo od posledního setkání, je pěstounovi minimálně 2 týdny před návštěvou zaslána písemná výzva s termínem schůzky a na tuto skutečnost je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2"/>
        </w:numP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se ani tuto návštěvu nepodaří zrealizovat, je pěstounovi zaslána další výzva s termínem schůzky a upozorněn OSPOD.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2"/>
        </w:numP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a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Pokud ani tak návštěva neproběhne, lze po 6 měsících, během kterých se schůzku nepodařilo uskutečnit, vypovědět Dohodu ze strany doprovázející organizace.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místo se nachází na adrese kanceláře poskytovatele. V Teplicích pak na adrese Vrchlického 9. Setkání s klíčovým pracovníkem zde nebo s dalšími pracovníky poskytovatele je možné pouze po předběžné domluvě.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Pobytové služby (odpočinek pěstouna neboli respit, vzdělávání) budou realizovány v termínech a místech, o kterých bude pěstoun informován v podobě aktuální Nabídky akcí a aktuálního Ceníku. Pěstoun obdrží  (elektronicky, poštou nebo osobně) při podpisu Dohody nebo vždy na začátku kalendářního roku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přílohou je aktuální Nabídka akcí a aktuální Ceník. Pěstoun svým podpisem Dohody a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stvrzuje, že souhlasí s podmínkami doprovázení. Poradenské služby budou realizovány v čase a v místě dopředu dohodnutém. Pěstoun si pro sebe a své děti také může vybírat ze služeb jiných organizací, rozhodnutí o proplacení služby je v kompetenci klíčového pracovníka v závislosti na aktuálním Ceníku a Vnitřní směrnici č. 01/2022.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IV.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Práva pěstouna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0"/>
        </w:numP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Pravidelné konzultace s klíčovým pracovníkem.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a děti vyrůstající v jeho péči mají právo a možnost pravidelně konzultovat průběh pěstounské péče a to minimálně 1 x za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0"/>
        </w:numPr>
        <w:shd w:fill="auto" w:val="clear"/>
        <w:spacing w:after="0" w:before="60" w:line="240" w:lineRule="auto"/>
        <w:ind w:left="284" w:right="0" w:hanging="284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 při zajištění osobní péče o dítě (dále jen „výpomoc“)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6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se zavazuje pěstounovi poskytnout výpomoc: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5"/>
        </w:numP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dobu, kdy bude pěstoun vychovávající děti uznán za dočasně práce neschopným, nebo v případě ošetřování osoby blízké,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5"/>
        </w:numP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narození vlastního dítěte či při úmrtí osoby blízké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5"/>
        </w:numPr>
        <w:shd w:fill="auto" w:val="clear"/>
        <w:spacing w:after="0" w:before="0" w:line="240" w:lineRule="auto"/>
        <w:ind w:left="993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 vyřizování nezbytných záležitostí, kterými se rozumí zejména jednání na správních úřadech, účast u soudu apod., na nichž povinnost účasti vyplývá pěstounovi z právního předpisu (podání vysvětlení, předvolání), nebo nelze po ní spravedlivě požadovat, aby úkon opomenula (vyšetření, lékařský zákrok, podání žádosti o sociální dávku, dávku pěstounské péče, důchod apod.) Spadá sem také absolvování vzdělávání v povinném rozsahu. Při pochybnostech, zda se jedná o vyřizování nezbytné záležitosti, rozhodne na návrh klíčového pracovníka nebo pěstouna předseda nebo místopředseda Správní rady.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60" w:line="240" w:lineRule="auto"/>
        <w:ind w:left="64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Výpomoc bude realizována vytipováním a oslovením vhodné osoby, která by mohla dočasně převzít péči o svěřené děti. Výpomoc bude pěstounovi proplacena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0" w:line="240" w:lineRule="auto"/>
        <w:ind w:left="641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Žádost o výpomoc uplatní pěstoun u klíčového pracovníka. U vyřizování nezbytné záležitosti (dle odst. 1, bod c), jejíž datum je předem známo, je pěstoun povinný požádat o poskytnutí pomoci co nejdříve, kdy se o potřebě dozví, nejpozději však 14 dní před událostí, jinak poskytovatel neručí za zajištění této pomoci.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shd w:fill="auto" w:val="clear"/>
        <w:spacing w:after="0" w:before="6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přispívá vypomáhající osobě na úhradu nákladů na stravu a ubytování svěřeného dítěte z příspěvku na úhradu potřeb dítěte. Výše příspěvku může činit za jedno dítě maximálně 1/30 částky příspěvku na úhradu potřeb dítěte za den, přičemž tato částka musí být úměrně krácena při poskytnutí nikoli celodenní stravy a ubytování.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Odpočinek pěstouna neboli respit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má právo na poskytnutí pomoci se zajištěním celodenní péče o každé svěřené dítě starší 2 let v rozsahu alespoň 14 dnů v kalendářním roce, jakožto dovolené (dále „odpočinek“). Daný počet dní může být čerpán vcelku  nebo zvlášť.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za účelem zajištění odpočinku pěstouna: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1"/>
        </w:numP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Realizuje integrované pobyty pro děti. Informace o termínech, plné ceně, finanční spoluúčasti pěstouna a tematickém zaměření pobytů je popsána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Každému dítěti, které vyžaduje zvýšenou péči, bude zajištěn podpůrný asistent.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1"/>
        </w:numP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vybrat vhodný pobyt pro děti z veřejné nabídky dětských pobytů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pěstounovi proplatí část nákladů na zajištění odpočinku.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1"/>
        </w:numPr>
        <w:shd w:fill="auto" w:val="clear"/>
        <w:spacing w:after="0" w:before="0" w:line="240" w:lineRule="auto"/>
        <w:ind w:left="993" w:right="0" w:hanging="216.00000000000009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Pomáhá vytipovat vhodnou osobu pro individuální hlídání dětí a dle Vnitřní směrnice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aktuálního Ceníku pěstounovi proplatí část nákladů souvisejících se zajištěním odpočinku.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shd w:fill="auto" w:val="clear"/>
        <w:spacing w:after="0" w:before="60" w:line="240" w:lineRule="auto"/>
        <w:ind w:left="709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Nevyčerpání 14 dnů v rámci odpočinku pěstouna se do dalšího roku nepřevádí ani se za ni neposkytuje finanční kompenzace.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0"/>
        </w:numPr>
        <w:shd w:fill="auto" w:val="clear"/>
        <w:spacing w:after="0" w:before="60" w:line="240" w:lineRule="auto"/>
        <w:ind w:left="284" w:right="0" w:hanging="284"/>
        <w:jc w:val="left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Zprostředkování odborné pomoci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shd w:fill="auto" w:val="clear"/>
        <w:tabs>
          <w:tab w:val="left" w:pos="142"/>
          <w:tab w:val="left" w:pos="360"/>
        </w:tabs>
        <w:spacing w:after="0" w:before="6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a všechny děti vyrůstající v rodině pěstouna mají právo na zprostředkování psychologické, terapeutické nebo jiné odborné pomoci jednou za 6 měsíců a proplácení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shd w:fill="auto" w:val="clear"/>
        <w:spacing w:after="0" w:before="0" w:line="240" w:lineRule="auto"/>
        <w:ind w:left="35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shd w:fill="auto" w:val="clear"/>
        <w:spacing w:after="0" w:before="0" w:line="24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Povinnosti pěstouna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6"/>
        </w:numPr>
        <w:shd w:fill="auto" w:val="clear"/>
        <w:spacing w:after="0" w:before="60" w:line="24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 dětí v pěstounské péči s vlastní rodinou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8"/>
        </w:numP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je povinný prohlubovat sounáležitost dítěte s biologickými rodiči a dalšími osobami jemu blízkými a podporovat dítě v kontaktu s vlastní rodinou, je-li takový kontakt v zájmu dítěte a neučinil-li soud jiné opatření. Pokud kontakt nemůže probíhat, je pěstoun povinný podporovat pozitivní identitu dítěte ve vztahu k jeho vlastní rodině.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8"/>
        </w:numP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Forma, místo a četnost kontaktu vychází z Individuálního plánu ochrany dítěte (IPOD), soudního rozhodnutí nebo po dohodě všech zúčastněných stran.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8"/>
        </w:numPr>
        <w:shd w:fill="auto" w:val="clear"/>
        <w:tabs>
          <w:tab w:val="left" w:pos="142"/>
          <w:tab w:val="left" w:pos="360"/>
        </w:tabs>
        <w:spacing w:after="0" w:before="60" w:line="240" w:lineRule="auto"/>
        <w:ind w:left="709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pomůže pěstounovi s dohodnutím kontaktu s rodinou a případně bude kontaktu osobně přítomen, pokud o to pěstoun nebo dítě požádá. Průběh kontaktu je průběžně vyhodnocován.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shd w:fill="auto" w:val="clear"/>
        <w:spacing w:after="0" w:before="6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  <w:tab/>
        <w:t xml:space="preserve">Zvyšování znalostí a dovedností pěstouna; vzdělávací plán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1"/>
        </w:numP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má povinnost zvyšovat si znalosti a dovednosti v oblasti výchovy a péče o dítě v rozsahu 24 hodin v době 12. kalendářních měsíců po sobě jdoucích od doby vzniku pěstounské péče. Vznik pěstounské péče je dán nabytím právní moci soudního rozhodnutí o svěření dítěte do pěstounské péče.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1"/>
        </w:numP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ve spolupráci s pěstounem vytváří vzdělávací plán na každé  12. měsíční období. Obsah vzdělávacího plánu vychází z potřeb pěstouna. Ve vzdělávacím plánu klíčový pracovník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polu s pěstounem určí, jakým způsobem bude zajištěna péče o svěřené děti po dobu vzdělávání pěstouna. Pěstoun má povinnost od organizace, u níž absolvuje vzdělávací akci, požadovat osvědčení, které dokládá počet absolvovaných hodin a kopii tohoto osvědčení předat klíčovému pracovníkovi.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1"/>
        </w:numP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Vzdělávání je plně hrazeno poskytovatelem, pěstoun hradí cestovné, stravné.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Ubytování hradí poskytovatel jen v případě noclehu mezi dvěma dny, ve kterých se pěstoun každý den vzdělával minimálně 6 hodin (6 x 60 minut).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Cena spoluúčasti  je stanovena ve 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 Proplácení vzdělávání u jiné organizace se řídí Vnitřní směrnicí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aktuálním Ceníkem. Pěstoun si může najít odpovídající vzdělávání také u jiných organizací. Takovéto vzdělávání je potřeba klíčovému pracovníkovi oznámit dopředu. Účast a proplacení semináře nebude pěstounovi odepřeno, bude-li cena obvyklá v místě a čase, bude-li vzdělávání odpovídat potřebám pěstouna s ohledem na výkon pěstounské péče, a půjde-li o vzdělávání v rozsahu 24 hodin v daném 12. měsíčním období.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1"/>
        </w:numPr>
        <w:shd w:fill="auto" w:val="clear"/>
        <w:spacing w:after="0" w:before="6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 případě, že nedojde ke shodě o obsahu vzdělávacího plánu do poloviny vzdělávacího roku, určí poskytovatel pěstounovi vhodné vzdělávání.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Finanční spoluúčast pěstouna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4"/>
        </w:numP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Maximální platba pěstouna (spoluúčast) za 24 hodin vzdělávání v daném 12. měsíčním období odpovídá reálné ceně za stravování, cestovné. Výše příspěvku pěstouna na úhradu stravy a ubytování v rámci výpomoci a 14 dní odpočinku může činit za jedno dítě maximálně 1/30 částky příspěvku na úhradu potřeb dítěte za den, přičemž tato částka musí být úměrně krácena při poskytnutí nikoli celodenní stravy a ubytování. Výše další spoluúčasti závisí na reálných nákladech na daný respitní pobyt a je upřesněna ve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v aktuální Nabídce akcí.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4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nese ostatní náklady, a to náklady na mzdy a odměny pracovníků (klíčoví pracovníci, vedoucí, lektoři, odborní pracovníci a garanti, koordinátoři aktivit aj.), náklady na ubytování, stravování a cestovné pracovníků a dobrovolníků, náklady na materiál, vzdělávání, supervize, pojištění, platby za související služby apod. Tyto náklady jsou hrazeny ze Státního příspěvku na výkon pěstounské péče (dále jen Státní příspěvek).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4"/>
        </w:numPr>
        <w:shd w:fill="auto" w:val="clear"/>
        <w:spacing w:after="0" w:before="60" w:line="240" w:lineRule="auto"/>
        <w:ind w:left="360" w:right="0" w:hanging="360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bude pravidelně pěstounovi zasílat nebo předávat Vnitřní směrnici č. 01/202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jejíž součástí je aktuální Ceník a Nabídka akcí, a v které budou zahrnuty reálné ceny za služby, finanční spoluúčast pěstouna a proplácení služeb jiných organizací.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shd w:fill="auto" w:val="clear"/>
        <w:spacing w:after="0" w:before="0" w:line="240" w:lineRule="auto"/>
        <w:ind w:left="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Dohled nad výkonem pěstounské péče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0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Klíčový pracovník je zodpovědný za dohled nad výkonem pěstounské péče. V rámci pravidelných konzultací hovoří o samotě také se svěřenými dětmi vyrůstajícími v rodině pěstouna, přičemž s nimi může hovořit i v neutrálním prostředí (škola, tábor).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0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Klíčový pracovník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x za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měsíců zpracovává zprávu o průběhu výkonu pěstounské péče, kterou předává místně příslušnému OSPOD. S obsahem zprávy pěstouna seznámí. Pěstoun je oprávněn požádat o doplnění této zprávy a/nebo vznést připomínky k jejímu obsahu. Připomínky budou předány příslušnému OSPOD jako doplněk ke zprávě.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0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je povinný sdělit klíčovému pracovníkovi všechny důležité skutečnosti spojené s výkonem pěstounské péče a umožnit mu vykonat předem ohlášenou návštěvu.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Výpověď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Pěstoun může vypovědět Dohodu bez udání důvodu a to písemně na adresu poskytovatele. Poskytovatel na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tuto  skutečnost upozorní OSPOD. 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Výpověď Dohody musí být poskytovateli doručena nejpozději 30 dnů před koncem kalendářního pololetí (tj. do 31.5. nebo do 1.12.) Výpovědní doba skončí k poslednímu dni kalendářního pololetí (tj. k 30. 6. nebo 31. 12.), ve kterém byla Dohoda pěstounem vypovězena. Bude-li výpověď doručena poskytovateli později než 30 dnů před koncem kalendářního pololetí, skončí výpovědní doba k poslednímu dni kalendářního pololetí následujícího po doručení výpovědi.</w:t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spacing w:before="60" w:lineRule="auto"/>
        <w:ind w:left="283.46456692913375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může vypovědět Dohodu:</w:t>
      </w:r>
    </w:p>
    <w:p w:rsidR="00000000" w:rsidDel="00000000" w:rsidP="00000000" w:rsidRDefault="00000000" w:rsidRPr="00000000" w14:paraId="00000066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závažné nebo opakované porušování povinností vyplývajících z této Dohody včetně jejích příloh,</w:t>
      </w:r>
    </w:p>
    <w:p w:rsidR="00000000" w:rsidDel="00000000" w:rsidP="00000000" w:rsidRDefault="00000000" w:rsidRPr="00000000" w14:paraId="00000067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opakované maření sledování naplňování této Dohody,</w:t>
      </w:r>
    </w:p>
    <w:p w:rsidR="00000000" w:rsidDel="00000000" w:rsidP="00000000" w:rsidRDefault="00000000" w:rsidRPr="00000000" w14:paraId="00000068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pro nemožnost nadále poskytovat Dohodou vymezené služby z důvodu nedostatečné personální kapacity,</w:t>
      </w:r>
    </w:p>
    <w:p w:rsidR="00000000" w:rsidDel="00000000" w:rsidP="00000000" w:rsidRDefault="00000000" w:rsidRPr="00000000" w14:paraId="00000069">
      <w:pPr>
        <w:numPr>
          <w:ilvl w:val="1"/>
          <w:numId w:val="17"/>
        </w:numPr>
        <w:ind w:left="1222" w:hanging="36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z rozhodnutí správního nebo soudního řízení.</w:t>
      </w:r>
    </w:p>
    <w:p w:rsidR="00000000" w:rsidDel="00000000" w:rsidP="00000000" w:rsidRDefault="00000000" w:rsidRPr="00000000" w14:paraId="0000006A">
      <w:pPr>
        <w:ind w:left="284" w:firstLine="0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Poskytovatel na tuto  skutečnost upozorní místně příslušný OSPOD pěstouna.</w:t>
      </w:r>
    </w:p>
    <w:p w:rsidR="00000000" w:rsidDel="00000000" w:rsidP="00000000" w:rsidRDefault="00000000" w:rsidRPr="00000000" w14:paraId="0000006B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Poskytovatel je povinen pěstouna písemně upozornit, dojde-li k jednání, jehož opakování by mohlo dát důvod k výpovědi Dohody. Pěstoun poté má 30 dní na sjednání nápravy, pokud nebude vzájemná dohoda jiná. Pokud nebude sjednána náprava, může být Dohoda ukon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čena ze strany poskytovatele k poslednímu dni kalendářního pololetí. Výpověď poskytovatele musí být písemně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doručen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 pěstounovi nejpozději 30 dnů před koncem kalendářního pololetí.</w:t>
      </w:r>
    </w:p>
    <w:p w:rsidR="00000000" w:rsidDel="00000000" w:rsidP="00000000" w:rsidRDefault="00000000" w:rsidRPr="00000000" w14:paraId="0000006C">
      <w:pPr>
        <w:numPr>
          <w:ilvl w:val="0"/>
          <w:numId w:val="17"/>
        </w:numPr>
        <w:spacing w:before="60" w:lineRule="auto"/>
        <w:ind w:left="284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Dohoda bude ukončena v případě, kdy pěstoun přestane dlouhodobě osobně pečovat o svěřené dítě a toto  dítě bude plně zajištěno jinou formou péče, např. nástup dítěte do ZDVOP. Dohoda pak končí dnem nástupu dítěte do takového zařízení.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shd w:fill="auto" w:val="clear"/>
        <w:spacing w:after="0" w:before="60" w:line="240" w:lineRule="auto"/>
        <w:ind w:left="36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vykonávat sociálně-právní ochranu v souladu s etickým kodexem Děti patří domů, z. s. a se standardy kvality sociálně-právní ochrany dětí (k dispozici na webových stránkách či v kanceláři poskytovatele).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zachovávat mlčenlivost ve věcech souvisejících s výkonem sociálně-právní ochrany. Tato mlčenlivost se však nevztahuje na orgány sociálně-právní ochrany dětí a subjekty, které se podílejí na zajištění péče o svěřené děti. Nevztahuje se ani na případy, kdy je zákonem uložena oznamovací povinnost.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je povinen podávat informace o spolupráci s pěstounem OSPOD, kdykoliv si je tento orgán vyžádá, a to i bez souhlasu pěstouna. Stejně tak je poskytovatel povinen umožnit státním orgánům nahlédnout do spisu za účelem kontroly naplňování standardů kvality sociálně-právní ochrany nebo za účelem kontroly čerpání Státního příspěvku. S těmito skutečnostmi je pěstoun před podpisem Dohody ústně obeznámen.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Pěstoun podpisem této Dohody dává také souhlas ke zpracování jejich osobních údajů za účelem evidence, vedení spisu, poskytnutí Státního příspěvku od Úřadu práce, a další stěžejní oblasti úzce související s poskytováním služeb.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Poskytovatel i pěstoun shodně prohlašují, že tato Dohoda byla sepsána na základě pravdivých údajů, podle jejich svobodné a vážné vůle, nikoliv v tísni a za nápadně nevýhodných podmínek.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2"/>
        </w:numPr>
        <w:shd w:fill="auto" w:val="clear"/>
        <w:spacing w:after="0" w:before="60" w:line="240" w:lineRule="auto"/>
        <w:ind w:left="357" w:right="0" w:hanging="357"/>
        <w:jc w:val="both"/>
        <w:rPr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je sepsána ve 2 resp. 3 vyhotoveních, z nichž každý účastník obdrží po jednom z nich. Podle praxe místně příslušného OSPOD obdrží tento OSPOD originál nebo kopii Dohody a Úřad práce Pardubického kraje obdrží kopii.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Účinnost Dohody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shd w:fill="auto" w:val="clear"/>
        <w:spacing w:after="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Tato Dohoda nabývá účinnosti ke dni podpisu obou zúčastněných stran. S uzavřením této Dohody vyjádřil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OSPOD Městského úřadu v ……………. souhlas dne 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vydaný na základě předložení návrhu této Dohody.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</w:t>
        <w:tab/>
        <w:t xml:space="preserve">________________</w:t>
        <w:tab/>
        <w:tab/>
        <w:tab/>
        <w:t xml:space="preserve"> V    </w:t>
        <w:tab/>
        <w:t xml:space="preserve">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shd w:fill="auto" w:val="clear"/>
        <w:tabs>
          <w:tab w:val="left" w:pos="426"/>
        </w:tabs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Dne</w:t>
        <w:tab/>
        <w:t xml:space="preserve">________________ </w:t>
        <w:tab/>
        <w:tab/>
        <w:tab/>
        <w:t xml:space="preserve">Dne</w:t>
        <w:tab/>
        <w:t xml:space="preserve">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____________________</w:t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Mgr. Lenka Patočková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yellow"/>
          <w:rtl w:val="0"/>
        </w:rPr>
        <w:t xml:space="preserve">jméno a příjmení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Děti patří domů, z. s.</w:t>
        <w:tab/>
        <w:t xml:space="preserve">pěstoun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shd w:fill="auto" w:val="clear"/>
        <w:tabs>
          <w:tab w:val="left" w:pos="3686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Příloha č. 1. Podání a vyřízení připomínek a stížností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Všechny stížnosti a připomínky jsou pro naši organizaci cenné podněty, které nám pomáhají zvyšovat kvalitu, zlepšovat náš přístup, uvědomit si chyby a učit se z nich. Proto Vám stížnost ani připomínka nebude nijak na újmu, a to i kdyby se ukázala jako nedůvodná. Naopak budeme za ni rádi, jelikož můžeme znovu – novým pohledem – zhodnotit danou službu či přístup.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Připomínky a stížnosti je možné podávat na chování a přístup našich pracovníků a dobrovolníků, organizaci akce, k plánování, realizaci či zhodnocení služby, dodržování etického kodexu či dodržování slušnosti a morálky, dodržování písemných postupů a metodik, vašich práv a práv dětí a na plnění Dohody o výkonu pěstounské péče.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Rozdíl vnímáme u připomínky a stížnosti.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Připomínka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jakýkoliv váš komentář k poskytované službě nebo našemu přístupu, a to ať již ústní (např. při závěrečném slovu na vzdělávací akci), tak písemný (v dotazníku zpětné vazby, emailem), kdy však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vaše i naše vnímání závažnosti problému je spíše mírné.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připomínku reagujeme ústní či emailovou odpovědí s tím, že vaši připomínku registrujeme.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poté jakýkoliv komentář, který má pro vás charakter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závažný, je potřeba situaci prošetřit a v případě oprávněnosti zajistit nápravu, omluvu a preventivní opatření pro příště.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uvést i v dotazníku zpětné vazby, avšak je potřeba na ni výrazně upozornit. V některých případech je za stížnost námi považována i vaše drobná připomínka, kterou my vyhodnotíme jako závažnou, a tak s ní i zacházíme. (Např. upozorníte, že se vám zdá, že pracovník k dítěti přistupoval nepřiměřeně, z vaší strany nejde o formální stížnost, ale o připomínku, nicméně my situaci prošetříme a o výsledku vás budeme informovat, jako kdyby o stížnost šlo.)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 na adresu: Správní rada Děti patří domů, z. s., náměstí Míru 108/28, Svitavy 568 02,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emailem na adresu: detipatridomu@detipatridomu.cz nebo na email pracovníka, k němuž máte důvěru,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ústně kterémukoli pracovníkovi Děti patří domů, z. s., ten si stížnost musí podrobně zapsat,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502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vy nebo vaše dítě máte problém s verbální komunikací, je samozřejmé, že stížnost podáte v zastoupení osoby, která váš způsob komunikace ovládá,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5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stížnost můžete podávat anonymně anebo můžete požadovat anonymní vyřizování stížnosti.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shd w:fill="auto" w:val="clear"/>
        <w:spacing w:after="0" w:before="0" w:line="24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Pokud byste se domnívali, že vaše stížnost nebyla řádně vyřízena nebo jste opravdu vážně nespokojeni s našimi službami a chováním pracovníků, obraťte se na: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6"/>
        </w:numP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Krajský úřad Pardubického kraje, vedoucí oddělení sociálně-právní ochrany dětí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který nám udělil souhlas k pověření sociálně-právní ochrany dětí (SPOD):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3"/>
        </w:numP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na adresu Komenského nám. 120, Pardubice,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3"/>
        </w:numP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elektronicky: petra.bila@pardubickykraj.cz,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6"/>
        </w:numP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Veřejného ochránce práv – Ombudsmana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7"/>
        </w:numP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písemně: Veřejný ochránce práv, Údolní 39, 602 00 Brno,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7"/>
        </w:numP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elektronicky: podatelna@ochrance.cz,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7"/>
        </w:numP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pomocí interaktivního formuláře na webu: http://www.ochrance.cz/stiznosti-na-urady/jak-podat-stiznost/.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Vyřízení stížnosti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Vaší stížností se bude zabývat Správní rada Děti patří domů, z. s., v počtu alespoň dvou osob. Ta je povinna stížnost prošetřit a do 30 dní vám zaslat písemné vyjádření, které bude obsahovat vaši stížnost, zjištěné informace (svědectví, popisy), v případě prokázaných pochybností analýzu případných příčin, návrh preventivních opatření, stanovisko Děti patří domů, z. s., omluvu a nápravu stavu. V případě, kdyby Správní rada nebyla v případu nestranná, stanovuje výkonná ředitelka jiný alespoň dvoučlenný tým k vyřízení stížnosti. Vyřízení anonymní stížnosti bude vyvěšeno po dobu 30 dní ve veřejně přístupné vitríně na adrese sídla organizace.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Budeme moc rádi, když nás o tom, co se vám nelíbí, nezdá či s čím nesouhlasíte, budete informovat. Jen tak můžeme naše služby stále zlepšovat. Chybovat je lidské a my se z našich chyb chceme učit. Děkujeme.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608" w:left="1418" w:right="1418" w:header="709" w:footer="49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-903602</wp:posOffset>
          </wp:positionH>
          <wp:positionV relativeFrom="paragraph">
            <wp:posOffset>8451215</wp:posOffset>
          </wp:positionV>
          <wp:extent cx="7562160" cy="2520"/>
          <wp:effectExtent b="0" l="0" r="0" t="0"/>
          <wp:wrapSquare wrapText="bothSides" distB="0" distT="0" distL="114300" distR="11430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shd w:fill="auto" w:val="clear"/>
      <w:tabs>
        <w:tab w:val="left" w:pos="212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-903602</wp:posOffset>
          </wp:positionH>
          <wp:positionV relativeFrom="paragraph">
            <wp:posOffset>8447405</wp:posOffset>
          </wp:positionV>
          <wp:extent cx="7562160" cy="2520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7562160" cy="25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-904873</wp:posOffset>
          </wp:positionH>
          <wp:positionV relativeFrom="paragraph">
            <wp:posOffset>-1666873</wp:posOffset>
          </wp:positionV>
          <wp:extent cx="7560310" cy="130492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shd w:fill="auto" w:val="clear"/>
      <w:tabs>
        <w:tab w:val="left" w:pos="189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-752473</wp:posOffset>
          </wp:positionH>
          <wp:positionV relativeFrom="paragraph">
            <wp:posOffset>-1514473</wp:posOffset>
          </wp:positionV>
          <wp:extent cx="7560310" cy="1304925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04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5">
    <w:lvl w:ilvl="0">
      <w:start w:val="1"/>
      <w:numFmt w:val="decimal"/>
      <w:lvlText w:val="(%1)"/>
      <w:lvlJc w:val="left"/>
      <w:pPr>
        <w:ind w:left="644" w:hanging="357"/>
      </w:pPr>
      <w:rPr>
        <w:rFonts w:ascii="Arial" w:cs="Arial" w:eastAsia="Arial" w:hAnsi="Arial"/>
        <w:b w:val="0"/>
        <w:color w:val="00000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9">
    <w:lvl w:ilvl="0">
      <w:start w:val="1"/>
      <w:numFmt w:val="decimal"/>
      <w:lvlText w:val="(%1)"/>
      <w:lvlJc w:val="left"/>
      <w:pPr>
        <w:ind w:left="502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0" w:hanging="360"/>
      </w:pPr>
      <w:rPr>
        <w:rFonts w:ascii="Arial" w:cs="Arial" w:eastAsia="Arial" w:hAnsi="Arial"/>
        <w:b w:val="0"/>
        <w:sz w:val="18"/>
        <w:szCs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sz w:val="20"/>
        <w:szCs w:val="20"/>
        <w:vertAlign w:val="baseline"/>
      </w:rPr>
    </w:lvl>
  </w:abstractNum>
  <w:abstractNum w:abstractNumId="11">
    <w:lvl w:ilvl="0">
      <w:start w:val="1"/>
      <w:numFmt w:val="decimal"/>
      <w:lvlText w:val="(%1)"/>
      <w:lvlJc w:val="left"/>
      <w:pPr>
        <w:ind w:left="720" w:hanging="360"/>
      </w:pPr>
      <w:rPr>
        <w:rFonts w:ascii="Arial" w:cs="Arial" w:eastAsia="Arial" w:hAnsi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16"/>
        <w:szCs w:val="16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>
    <w:lvl w:ilvl="0">
      <w:start w:val="1"/>
      <w:numFmt w:val="decimal"/>
      <w:lvlText w:val="(%1)"/>
      <w:lvlJc w:val="left"/>
      <w:pPr>
        <w:ind w:left="644" w:hanging="357"/>
      </w:pPr>
      <w:rPr>
        <w:b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284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353" w:hanging="359"/>
      </w:pPr>
      <w:rPr>
        <w:b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524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44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684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04" w:hanging="360"/>
      </w:pPr>
      <w:rPr>
        <w:sz w:val="20"/>
        <w:szCs w:val="20"/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18">
    <w:lvl w:ilvl="0">
      <w:start w:val="1"/>
      <w:numFmt w:val="decimal"/>
      <w:lvlText w:val="(%1)"/>
      <w:lvlJc w:val="left"/>
      <w:pPr>
        <w:ind w:left="1434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sz w:val="20"/>
        <w:szCs w:val="20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abstractNum w:abstractNumId="21">
    <w:lvl w:ilvl="0">
      <w:start w:val="1"/>
      <w:numFmt w:val="lowerLetter"/>
      <w:lvlText w:val="%1)"/>
      <w:lvlJc w:val="left"/>
      <w:pPr>
        <w:ind w:left="928" w:hanging="360"/>
      </w:pPr>
      <w:rPr>
        <w:rFonts w:ascii="Arial" w:cs="Arial" w:eastAsia="Arial" w:hAnsi="Arial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sz w:val="20"/>
        <w:szCs w:val="20"/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keepNext w:val="0"/>
      <w:keepLines w:val="0"/>
      <w:widowControl w:val="1"/>
      <w:shd w:fill="auto" w:val="clear"/>
      <w:bidi w:val="0"/>
      <w:spacing w:after="0" w:before="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Nadpis1">
    <w:name w:val="Heading 1"/>
    <w:basedOn w:val="Normal1"/>
    <w:next w:val="LOnormal1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48"/>
      <w:szCs w:val="48"/>
      <w:lang w:bidi="hi-IN" w:eastAsia="zh-CN" w:val="cs-CZ"/>
    </w:rPr>
  </w:style>
  <w:style w:type="paragraph" w:styleId="Nadpis2">
    <w:name w:val="Heading 2"/>
    <w:basedOn w:val="Normal1"/>
    <w:next w:val="LOnormal1"/>
    <w:qFormat w:val="1"/>
    <w:pPr>
      <w:keepNext w:val="1"/>
      <w:keepLines w:val="1"/>
      <w:widowControl w:val="0"/>
      <w:bidi w:val="0"/>
      <w:spacing w:after="80" w:before="36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36"/>
      <w:szCs w:val="36"/>
      <w:lang w:bidi="hi-IN" w:eastAsia="zh-CN" w:val="cs-CZ"/>
    </w:rPr>
  </w:style>
  <w:style w:type="paragraph" w:styleId="Nadpis3">
    <w:name w:val="Heading 3"/>
    <w:basedOn w:val="Normal1"/>
    <w:next w:val="LOnormal1"/>
    <w:qFormat w:val="1"/>
    <w:pPr>
      <w:keepNext w:val="1"/>
      <w:keepLines w:val="1"/>
      <w:widowControl w:val="0"/>
      <w:bidi w:val="0"/>
      <w:spacing w:after="80" w:before="28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8"/>
      <w:szCs w:val="28"/>
      <w:lang w:bidi="hi-IN" w:eastAsia="zh-CN" w:val="cs-CZ"/>
    </w:rPr>
  </w:style>
  <w:style w:type="paragraph" w:styleId="Nadpis4">
    <w:name w:val="Heading 4"/>
    <w:basedOn w:val="Normal1"/>
    <w:next w:val="LOnormal1"/>
    <w:qFormat w:val="1"/>
    <w:pPr>
      <w:keepNext w:val="1"/>
      <w:keepLines w:val="1"/>
      <w:widowControl w:val="0"/>
      <w:bidi w:val="0"/>
      <w:spacing w:after="40" w:before="24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4"/>
      <w:szCs w:val="24"/>
      <w:lang w:bidi="hi-IN" w:eastAsia="zh-CN" w:val="cs-CZ"/>
    </w:rPr>
  </w:style>
  <w:style w:type="paragraph" w:styleId="Nadpis5">
    <w:name w:val="Heading 5"/>
    <w:basedOn w:val="Normal1"/>
    <w:next w:val="LOnormal1"/>
    <w:qFormat w:val="1"/>
    <w:pPr>
      <w:keepNext w:val="1"/>
      <w:keepLines w:val="1"/>
      <w:widowControl w:val="0"/>
      <w:bidi w:val="0"/>
      <w:spacing w:after="40" w:before="22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2"/>
      <w:szCs w:val="22"/>
      <w:lang w:bidi="hi-IN" w:eastAsia="zh-CN" w:val="cs-CZ"/>
    </w:rPr>
  </w:style>
  <w:style w:type="paragraph" w:styleId="Nadpis6">
    <w:name w:val="Heading 6"/>
    <w:basedOn w:val="Normal1"/>
    <w:next w:val="LOnormal1"/>
    <w:qFormat w:val="1"/>
    <w:pPr>
      <w:keepNext w:val="1"/>
      <w:keepLines w:val="1"/>
      <w:widowControl w:val="0"/>
      <w:bidi w:val="0"/>
      <w:spacing w:after="40" w:before="200" w:line="240" w:lineRule="auto"/>
      <w:jc w:val="left"/>
    </w:pPr>
    <w:rPr>
      <w:rFonts w:ascii="Times New Roman" w:cs="Times New Roman" w:eastAsia="Times New Roman" w:hAnsi="Times New Roman"/>
      <w:b w:val="1"/>
      <w:color w:val="000000"/>
      <w:kern w:val="0"/>
      <w:sz w:val="20"/>
      <w:szCs w:val="20"/>
      <w:lang w:bidi="hi-IN" w:eastAsia="zh-CN" w:val="cs-CZ"/>
    </w:rPr>
  </w:style>
  <w:style w:type="character" w:styleId="Internetovodkaz">
    <w:name w:val="Internetový odkaz"/>
    <w:rPr>
      <w:color w:val="000080"/>
      <w:u w:val="single"/>
      <w:lang w:bidi="zxx" w:eastAsia="zxx" w:val="zxx"/>
    </w:rPr>
  </w:style>
  <w:style w:type="character" w:styleId="Symbolyproslovn">
    <w:name w:val="Symboly pro číslování"/>
    <w:qFormat w:val="1"/>
    <w:rPr>
      <w:rFonts w:ascii="Arial" w:hAnsi="Arial"/>
      <w:sz w:val="18"/>
      <w:szCs w:val="18"/>
    </w:rPr>
  </w:style>
  <w:style w:type="paragraph" w:styleId="Nadpis">
    <w:name w:val="Nadpis"/>
    <w:basedOn w:val="Normal1"/>
    <w:next w:val="Tlotextu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Lucida Sans" w:eastAsia="Microsoft YaHei" w:hAnsi="Liberation Sans"/>
      <w:color w:val="auto"/>
      <w:kern w:val="0"/>
      <w:sz w:val="28"/>
      <w:szCs w:val="28"/>
      <w:lang w:bidi="hi-IN" w:eastAsia="zh-CN" w:val="cs-CZ"/>
    </w:rPr>
  </w:style>
  <w:style w:type="paragraph" w:styleId="Tlotextu">
    <w:name w:val="Body Text"/>
    <w:basedOn w:val="Normal1"/>
    <w:pPr>
      <w:widowControl w:val="0"/>
      <w:bidi w:val="0"/>
      <w:spacing w:after="140" w:before="0" w:line="288" w:lineRule="auto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1"/>
    <w:qFormat w:val="1"/>
    <w:pPr>
      <w:widowControl w:val="0"/>
      <w:suppressLineNumbers w:val="1"/>
      <w:bidi w:val="0"/>
      <w:spacing w:after="120" w:before="120"/>
      <w:jc w:val="left"/>
    </w:pPr>
    <w:rPr>
      <w:rFonts w:ascii="Calibri" w:cs="Lucida Sans" w:eastAsia="NSimSun" w:hAnsi="Calibri"/>
      <w:i w:val="1"/>
      <w:iCs w:val="1"/>
      <w:color w:val="auto"/>
      <w:kern w:val="0"/>
      <w:sz w:val="24"/>
      <w:szCs w:val="24"/>
      <w:lang w:bidi="hi-IN" w:eastAsia="zh-CN" w:val="cs-CZ"/>
    </w:rPr>
  </w:style>
  <w:style w:type="paragraph" w:styleId="Rejstk">
    <w:name w:val="Rejstřík"/>
    <w:basedOn w:val="Normal1"/>
    <w:qFormat w:val="1"/>
    <w:pPr>
      <w:widowControl w:val="0"/>
      <w:suppressLineNumbers w:val="1"/>
      <w:bidi w:val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Normal1" w:default="1">
    <w:name w:val="LO-normal3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cs-CZ"/>
    </w:rPr>
  </w:style>
  <w:style w:type="paragraph" w:styleId="Nzev">
    <w:name w:val="Title"/>
    <w:basedOn w:val="Normal1"/>
    <w:next w:val="LOnormal1"/>
    <w:qFormat w:val="1"/>
    <w:pPr>
      <w:keepNext w:val="1"/>
      <w:keepLines w:val="1"/>
      <w:widowControl w:val="0"/>
      <w:bidi w:val="0"/>
      <w:spacing w:after="120" w:before="480" w:line="240" w:lineRule="auto"/>
      <w:jc w:val="left"/>
    </w:pPr>
    <w:rPr>
      <w:rFonts w:ascii="Calibri" w:cs="Lucida Sans" w:eastAsia="NSimSun" w:hAnsi="Calibri"/>
      <w:b w:val="1"/>
      <w:color w:val="auto"/>
      <w:kern w:val="0"/>
      <w:sz w:val="72"/>
      <w:szCs w:val="72"/>
      <w:lang w:bidi="hi-IN" w:eastAsia="zh-CN" w:val="cs-CZ"/>
    </w:rPr>
  </w:style>
  <w:style w:type="paragraph" w:styleId="LOnormal1" w:default="1">
    <w:name w:val="LO-normal1"/>
    <w:qFormat w:val="1"/>
    <w:pPr>
      <w:widowControl w:val="1"/>
      <w:bidi w:val="0"/>
      <w:spacing w:after="0" w:before="0"/>
      <w:jc w:val="left"/>
    </w:pPr>
    <w:rPr>
      <w:rFonts w:ascii="Calibri" w:cs="Lucida Sans" w:eastAsia="NSimSun" w:hAnsi="Calibri"/>
      <w:color w:val="auto"/>
      <w:kern w:val="0"/>
      <w:sz w:val="20"/>
      <w:szCs w:val="20"/>
      <w:lang w:bidi="hi-IN" w:eastAsia="zh-CN" w:val="cs-CZ"/>
    </w:rPr>
  </w:style>
  <w:style w:type="paragraph" w:styleId="LOnormal" w:default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vertAlign w:val="baseline"/>
      <w:lang w:bidi="hi-IN" w:eastAsia="zh-CN" w:val="cs-CZ"/>
    </w:rPr>
  </w:style>
  <w:style w:type="paragraph" w:styleId="Podtitul">
    <w:name w:val="Sub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Zhlavazpat">
    <w:name w:val="Záhlaví a zápatí"/>
    <w:basedOn w:val="Normal"/>
    <w:qFormat w:val="1"/>
    <w:pPr/>
    <w:rPr/>
  </w:style>
  <w:style w:type="paragraph" w:styleId="Zhlav">
    <w:name w:val="Header"/>
    <w:basedOn w:val="LOnormal1"/>
    <w:pPr/>
    <w:rPr/>
  </w:style>
  <w:style w:type="paragraph" w:styleId="Zpat">
    <w:name w:val="Footer"/>
    <w:basedOn w:val="LOnormal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5Yh8ffHwZWhWheZdoxag/68vyA==">AMUW2mUkmi4a7kFExfoswIVvl7O+joJJZ1aNNniOA3qCGrYn0xspUWc/rf8fryID/gm308/ENOpF0jfw5vATi7hQOh/mxFga5W0lZHZNQy0O//2sfG0ElIxtCghbxMFgEi84N9MEnR0YycFo+aDVG2je71L+vNlFj0dp0/JjKzDP7BRubLqMOEdFhhL7eFFA1UbOeRPwXFazUMFPl6mE6aoh4/82xUAwJ1/bzlkrZPdonFrQN6uFyyoAi0elItrirHpgZW8rzZUJJLqS1yyYBwTd1iv2g/EFxm9w1nRMYW+FQdXbpMbbjHKXC36Su+Nsevs3K3+ifS9SGiznySw5HtAmoTjb1+crX7cZFMdQAvQNv9MeM1vpx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